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6E5D" w14:textId="5CA759B0" w:rsidR="0068092E" w:rsidRPr="00064D62" w:rsidRDefault="00064D62" w:rsidP="00064D62">
      <w:pPr>
        <w:spacing w:line="360" w:lineRule="auto"/>
        <w:rPr>
          <w:rFonts w:ascii="Times New Roman" w:eastAsia="宋体" w:hAnsi="Times New Roman" w:cs="Times New Roman"/>
          <w:b/>
          <w:bCs/>
          <w:sz w:val="24"/>
          <w:szCs w:val="24"/>
        </w:rPr>
      </w:pPr>
      <w:r w:rsidRPr="00064D62">
        <w:rPr>
          <w:rFonts w:ascii="Times New Roman" w:eastAsia="宋体" w:hAnsi="Times New Roman" w:cs="Times New Roman"/>
          <w:b/>
          <w:bCs/>
          <w:sz w:val="24"/>
          <w:szCs w:val="24"/>
        </w:rPr>
        <w:t>报告题目：催化中心微环境的化学调控</w:t>
      </w:r>
    </w:p>
    <w:p w14:paraId="670B2D74" w14:textId="32DB9F05" w:rsidR="00064D62" w:rsidRPr="00064D62" w:rsidRDefault="00064D62" w:rsidP="00064D62">
      <w:pPr>
        <w:spacing w:line="360" w:lineRule="auto"/>
        <w:rPr>
          <w:rFonts w:ascii="Times New Roman" w:eastAsia="宋体" w:hAnsi="Times New Roman" w:cs="Times New Roman"/>
          <w:sz w:val="24"/>
          <w:szCs w:val="24"/>
        </w:rPr>
      </w:pPr>
    </w:p>
    <w:p w14:paraId="6C453589" w14:textId="77777777" w:rsidR="00064D62" w:rsidRPr="00064D62" w:rsidRDefault="00064D62" w:rsidP="00064D62">
      <w:pPr>
        <w:spacing w:line="360" w:lineRule="auto"/>
        <w:rPr>
          <w:rFonts w:ascii="Times New Roman" w:eastAsia="宋体" w:hAnsi="Times New Roman" w:cs="Times New Roman"/>
          <w:b/>
          <w:bCs/>
          <w:sz w:val="24"/>
          <w:szCs w:val="24"/>
        </w:rPr>
      </w:pPr>
      <w:r w:rsidRPr="00064D62">
        <w:rPr>
          <w:rFonts w:ascii="Times New Roman" w:eastAsia="宋体" w:hAnsi="Times New Roman" w:cs="Times New Roman"/>
          <w:b/>
          <w:bCs/>
          <w:sz w:val="24"/>
          <w:szCs w:val="24"/>
        </w:rPr>
        <w:t>摘要</w:t>
      </w:r>
    </w:p>
    <w:p w14:paraId="2E706187" w14:textId="76D691B3" w:rsidR="00064D62" w:rsidRPr="00064D62" w:rsidRDefault="00064D62" w:rsidP="00064D62">
      <w:pPr>
        <w:spacing w:line="360" w:lineRule="auto"/>
        <w:rPr>
          <w:rFonts w:ascii="Times New Roman" w:eastAsia="宋体" w:hAnsi="Times New Roman" w:cs="Times New Roman"/>
          <w:sz w:val="24"/>
          <w:szCs w:val="24"/>
        </w:rPr>
      </w:pPr>
      <w:r w:rsidRPr="00064D62">
        <w:rPr>
          <w:rFonts w:ascii="Times New Roman" w:eastAsia="宋体" w:hAnsi="Times New Roman" w:cs="Times New Roman"/>
          <w:sz w:val="24"/>
          <w:szCs w:val="24"/>
          <w:lang w:val="ru-RU"/>
        </w:rPr>
        <w:t>催化反应中发挥功效的并不局限于催化中心，而其周围的微环境对催化性能扮演着至关重要的角色，而传统多相催化剂中理解这一问题存在很大挑战。金属有机框架（</w:t>
      </w:r>
      <w:r w:rsidRPr="00064D62">
        <w:rPr>
          <w:rFonts w:ascii="Times New Roman" w:eastAsia="宋体" w:hAnsi="Times New Roman" w:cs="Times New Roman"/>
          <w:sz w:val="24"/>
          <w:szCs w:val="24"/>
          <w:lang w:val="ru-RU"/>
        </w:rPr>
        <w:t>MOFs</w:t>
      </w:r>
      <w:r w:rsidRPr="00064D62">
        <w:rPr>
          <w:rFonts w:ascii="Times New Roman" w:eastAsia="宋体" w:hAnsi="Times New Roman" w:cs="Times New Roman"/>
          <w:sz w:val="24"/>
          <w:szCs w:val="24"/>
          <w:lang w:val="ru-RU"/>
        </w:rPr>
        <w:t>）是一类晶态多孔固体，在其骨架上引入活性位，或在其</w:t>
      </w:r>
      <w:proofErr w:type="gramStart"/>
      <w:r w:rsidRPr="00064D62">
        <w:rPr>
          <w:rFonts w:ascii="Times New Roman" w:eastAsia="宋体" w:hAnsi="Times New Roman" w:cs="Times New Roman"/>
          <w:sz w:val="24"/>
          <w:szCs w:val="24"/>
          <w:lang w:val="ru-RU"/>
        </w:rPr>
        <w:t>孔空间限域</w:t>
      </w:r>
      <w:proofErr w:type="gramEnd"/>
      <w:r w:rsidRPr="00064D62">
        <w:rPr>
          <w:rFonts w:ascii="Times New Roman" w:eastAsia="宋体" w:hAnsi="Times New Roman" w:cs="Times New Roman"/>
          <w:sz w:val="24"/>
          <w:szCs w:val="24"/>
          <w:lang w:val="ru-RU"/>
        </w:rPr>
        <w:t>经典多相催化活性位（金属纳米颗粒）构筑多相催化剂，基于</w:t>
      </w:r>
      <w:r w:rsidRPr="00064D62">
        <w:rPr>
          <w:rFonts w:ascii="Times New Roman" w:eastAsia="宋体" w:hAnsi="Times New Roman" w:cs="Times New Roman"/>
          <w:sz w:val="24"/>
          <w:szCs w:val="24"/>
          <w:lang w:val="ru-RU"/>
        </w:rPr>
        <w:t>MOF</w:t>
      </w:r>
      <w:r w:rsidRPr="00064D62">
        <w:rPr>
          <w:rFonts w:ascii="Times New Roman" w:eastAsia="宋体" w:hAnsi="Times New Roman" w:cs="Times New Roman"/>
          <w:sz w:val="24"/>
          <w:szCs w:val="24"/>
          <w:lang w:val="ru-RU"/>
        </w:rPr>
        <w:t>原子精度的结构明确性和</w:t>
      </w:r>
      <w:proofErr w:type="gramStart"/>
      <w:r w:rsidRPr="00064D62">
        <w:rPr>
          <w:rFonts w:ascii="Times New Roman" w:eastAsia="宋体" w:hAnsi="Times New Roman" w:cs="Times New Roman"/>
          <w:sz w:val="24"/>
          <w:szCs w:val="24"/>
          <w:lang w:val="ru-RU"/>
        </w:rPr>
        <w:t>可</w:t>
      </w:r>
      <w:proofErr w:type="gramEnd"/>
      <w:r w:rsidRPr="00064D62">
        <w:rPr>
          <w:rFonts w:ascii="Times New Roman" w:eastAsia="宋体" w:hAnsi="Times New Roman" w:cs="Times New Roman"/>
          <w:sz w:val="24"/>
          <w:szCs w:val="24"/>
          <w:lang w:val="ru-RU"/>
        </w:rPr>
        <w:t>剪裁性，可构建仿酶催化中心的多变微环境，相关微环境对催化性能的理解将为其他催化剂的设计与合成提供重要借鉴</w:t>
      </w:r>
      <w:r w:rsidR="00200345">
        <w:rPr>
          <w:rFonts w:ascii="Times New Roman" w:eastAsia="宋体" w:hAnsi="Times New Roman" w:cs="Times New Roman" w:hint="eastAsia"/>
          <w:sz w:val="24"/>
          <w:szCs w:val="24"/>
          <w:lang w:val="ru-RU"/>
        </w:rPr>
        <w:t>。</w:t>
      </w:r>
    </w:p>
    <w:p w14:paraId="29AE37AD" w14:textId="1B9AA810" w:rsidR="00064D62" w:rsidRPr="00064D62" w:rsidRDefault="00064D62" w:rsidP="00064D62">
      <w:pPr>
        <w:spacing w:line="360" w:lineRule="auto"/>
        <w:rPr>
          <w:rFonts w:ascii="Times New Roman" w:eastAsia="宋体" w:hAnsi="Times New Roman" w:cs="Times New Roman"/>
          <w:sz w:val="24"/>
          <w:szCs w:val="24"/>
        </w:rPr>
      </w:pPr>
    </w:p>
    <w:p w14:paraId="172E3AD7" w14:textId="05731216" w:rsidR="00064D62" w:rsidRPr="00064D62" w:rsidRDefault="00064D62" w:rsidP="00064D62">
      <w:pPr>
        <w:spacing w:line="360" w:lineRule="auto"/>
        <w:rPr>
          <w:rFonts w:ascii="Times New Roman" w:eastAsia="宋体" w:hAnsi="Times New Roman" w:cs="Times New Roman"/>
          <w:b/>
          <w:bCs/>
          <w:sz w:val="24"/>
          <w:szCs w:val="24"/>
        </w:rPr>
      </w:pPr>
      <w:r w:rsidRPr="00064D62">
        <w:rPr>
          <w:rFonts w:ascii="Times New Roman" w:eastAsia="宋体" w:hAnsi="Times New Roman" w:cs="Times New Roman" w:hint="eastAsia"/>
          <w:b/>
          <w:bCs/>
          <w:sz w:val="24"/>
          <w:szCs w:val="24"/>
        </w:rPr>
        <w:t>个人介绍</w:t>
      </w:r>
    </w:p>
    <w:p w14:paraId="43A15EB1" w14:textId="097DBF49" w:rsidR="00064D62" w:rsidRPr="00064D62" w:rsidRDefault="00064D62" w:rsidP="00064D62">
      <w:pPr>
        <w:spacing w:line="360" w:lineRule="auto"/>
        <w:rPr>
          <w:rFonts w:ascii="Times New Roman" w:eastAsia="宋体" w:hAnsi="Times New Roman" w:cs="Times New Roman"/>
          <w:sz w:val="24"/>
          <w:szCs w:val="24"/>
        </w:rPr>
      </w:pPr>
      <w:r w:rsidRPr="00064D62">
        <w:rPr>
          <w:rFonts w:ascii="Times New Roman" w:eastAsia="宋体" w:hAnsi="Times New Roman" w:cs="Times New Roman"/>
          <w:sz w:val="24"/>
          <w:szCs w:val="24"/>
        </w:rPr>
        <w:t>江海龙，中国科学技术大学讲席教授、博士生导师、国家重点研发计划项目首席科学家。获国家杰出青年科学基金资助，入选英国皇家化学会会士（</w:t>
      </w:r>
      <w:r w:rsidRPr="00064D62">
        <w:rPr>
          <w:rFonts w:ascii="Times New Roman" w:eastAsia="宋体" w:hAnsi="Times New Roman" w:cs="Times New Roman"/>
          <w:sz w:val="24"/>
          <w:szCs w:val="24"/>
        </w:rPr>
        <w:t>FRSC</w:t>
      </w:r>
      <w:r w:rsidRPr="00064D62">
        <w:rPr>
          <w:rFonts w:ascii="Times New Roman" w:eastAsia="宋体" w:hAnsi="Times New Roman" w:cs="Times New Roman"/>
          <w:sz w:val="24"/>
          <w:szCs w:val="24"/>
        </w:rPr>
        <w:t>）、国家万人计划领军人才等。</w:t>
      </w:r>
      <w:r w:rsidRPr="00064D62">
        <w:rPr>
          <w:rFonts w:ascii="Times New Roman" w:eastAsia="宋体" w:hAnsi="Times New Roman" w:cs="Times New Roman"/>
          <w:sz w:val="24"/>
          <w:szCs w:val="24"/>
        </w:rPr>
        <w:t>2008</w:t>
      </w:r>
      <w:r w:rsidRPr="00064D62">
        <w:rPr>
          <w:rFonts w:ascii="Times New Roman" w:eastAsia="宋体" w:hAnsi="Times New Roman" w:cs="Times New Roman"/>
          <w:sz w:val="24"/>
          <w:szCs w:val="24"/>
        </w:rPr>
        <w:t>年博士毕业于中科院福建物质结构研究所，随后在日本国立产业技术综合研究所和美国德克萨斯农工大学从事科学研究。</w:t>
      </w:r>
      <w:r w:rsidRPr="00064D62">
        <w:rPr>
          <w:rFonts w:ascii="Times New Roman" w:eastAsia="宋体" w:hAnsi="Times New Roman" w:cs="Times New Roman"/>
          <w:sz w:val="24"/>
          <w:szCs w:val="24"/>
        </w:rPr>
        <w:t>2013</w:t>
      </w:r>
      <w:r w:rsidRPr="00064D62">
        <w:rPr>
          <w:rFonts w:ascii="Times New Roman" w:eastAsia="宋体" w:hAnsi="Times New Roman" w:cs="Times New Roman"/>
          <w:sz w:val="24"/>
          <w:szCs w:val="24"/>
        </w:rPr>
        <w:t>年加入中国科学技术大学化学系</w:t>
      </w:r>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现任系执行主任</w:t>
      </w:r>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2017</w:t>
      </w:r>
      <w:r w:rsidRPr="00064D62">
        <w:rPr>
          <w:rFonts w:ascii="Times New Roman" w:eastAsia="宋体" w:hAnsi="Times New Roman" w:cs="Times New Roman"/>
          <w:sz w:val="24"/>
          <w:szCs w:val="24"/>
        </w:rPr>
        <w:t>年以来连续入选科</w:t>
      </w:r>
      <w:proofErr w:type="gramStart"/>
      <w:r w:rsidRPr="00064D62">
        <w:rPr>
          <w:rFonts w:ascii="Times New Roman" w:eastAsia="宋体" w:hAnsi="Times New Roman" w:cs="Times New Roman"/>
          <w:sz w:val="24"/>
          <w:szCs w:val="24"/>
        </w:rPr>
        <w:t>睿唯安全球</w:t>
      </w:r>
      <w:proofErr w:type="gramEnd"/>
      <w:r w:rsidRPr="00064D62">
        <w:rPr>
          <w:rFonts w:ascii="Times New Roman" w:eastAsia="宋体" w:hAnsi="Times New Roman" w:cs="Times New Roman"/>
          <w:sz w:val="24"/>
          <w:szCs w:val="24"/>
        </w:rPr>
        <w:t>高被引科学家和</w:t>
      </w:r>
      <w:proofErr w:type="gramStart"/>
      <w:r w:rsidRPr="00064D62">
        <w:rPr>
          <w:rFonts w:ascii="Times New Roman" w:eastAsia="宋体" w:hAnsi="Times New Roman" w:cs="Times New Roman"/>
          <w:sz w:val="24"/>
          <w:szCs w:val="24"/>
        </w:rPr>
        <w:t>爱思唯尔</w:t>
      </w:r>
      <w:proofErr w:type="gramEnd"/>
      <w:r w:rsidRPr="00064D62">
        <w:rPr>
          <w:rFonts w:ascii="Times New Roman" w:eastAsia="宋体" w:hAnsi="Times New Roman" w:cs="Times New Roman"/>
          <w:sz w:val="24"/>
          <w:szCs w:val="24"/>
        </w:rPr>
        <w:t>中国高被引学者榜单。长期从事晶态多孔催化剂的合成与性能研究，部分成果获</w:t>
      </w:r>
      <w:r w:rsidRPr="00064D62">
        <w:rPr>
          <w:rFonts w:ascii="Times New Roman" w:eastAsia="宋体" w:hAnsi="Times New Roman" w:cs="Times New Roman"/>
          <w:sz w:val="24"/>
          <w:szCs w:val="24"/>
        </w:rPr>
        <w:t>2020</w:t>
      </w:r>
      <w:r w:rsidRPr="00064D62">
        <w:rPr>
          <w:rFonts w:ascii="Times New Roman" w:eastAsia="宋体" w:hAnsi="Times New Roman" w:cs="Times New Roman"/>
          <w:sz w:val="24"/>
          <w:szCs w:val="24"/>
        </w:rPr>
        <w:t>年教育部自然科学一等奖（第一完成人）。已在国际重要</w:t>
      </w:r>
      <w:r w:rsidRPr="00064D62">
        <w:rPr>
          <w:rFonts w:ascii="Times New Roman" w:eastAsia="宋体" w:hAnsi="Times New Roman" w:cs="Times New Roman"/>
          <w:sz w:val="24"/>
          <w:szCs w:val="24"/>
        </w:rPr>
        <w:t>SCI</w:t>
      </w:r>
      <w:r w:rsidRPr="00064D62">
        <w:rPr>
          <w:rFonts w:ascii="Times New Roman" w:eastAsia="宋体" w:hAnsi="Times New Roman" w:cs="Times New Roman"/>
          <w:sz w:val="24"/>
          <w:szCs w:val="24"/>
        </w:rPr>
        <w:t>期刊上发表论文</w:t>
      </w:r>
      <w:r w:rsidRPr="00064D62">
        <w:rPr>
          <w:rFonts w:ascii="Times New Roman" w:eastAsia="宋体" w:hAnsi="Times New Roman" w:cs="Times New Roman"/>
          <w:sz w:val="24"/>
          <w:szCs w:val="24"/>
        </w:rPr>
        <w:t>200</w:t>
      </w:r>
      <w:r w:rsidRPr="00064D62">
        <w:rPr>
          <w:rFonts w:ascii="Times New Roman" w:eastAsia="宋体" w:hAnsi="Times New Roman" w:cs="Times New Roman"/>
          <w:sz w:val="24"/>
          <w:szCs w:val="24"/>
        </w:rPr>
        <w:t>余篇，其中以第一和通讯作者身份在</w:t>
      </w:r>
      <w:r w:rsidRPr="00064D62">
        <w:rPr>
          <w:rFonts w:ascii="Times New Roman" w:eastAsia="宋体" w:hAnsi="Times New Roman" w:cs="Times New Roman"/>
          <w:sz w:val="24"/>
          <w:szCs w:val="24"/>
        </w:rPr>
        <w:t xml:space="preserve">Nat. </w:t>
      </w:r>
      <w:proofErr w:type="spellStart"/>
      <w:r w:rsidRPr="00064D62">
        <w:rPr>
          <w:rFonts w:ascii="Times New Roman" w:eastAsia="宋体" w:hAnsi="Times New Roman" w:cs="Times New Roman"/>
          <w:sz w:val="24"/>
          <w:szCs w:val="24"/>
        </w:rPr>
        <w:t>Catal</w:t>
      </w:r>
      <w:proofErr w:type="spellEnd"/>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J. Am. Chem. Soc.</w:t>
      </w:r>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22</w:t>
      </w:r>
      <w:r w:rsidRPr="00064D62">
        <w:rPr>
          <w:rFonts w:ascii="Times New Roman" w:eastAsia="宋体" w:hAnsi="Times New Roman" w:cs="Times New Roman"/>
          <w:sz w:val="24"/>
          <w:szCs w:val="24"/>
        </w:rPr>
        <w:t>篇），</w:t>
      </w:r>
      <w:proofErr w:type="spellStart"/>
      <w:r w:rsidRPr="00064D62">
        <w:rPr>
          <w:rFonts w:ascii="Times New Roman" w:eastAsia="宋体" w:hAnsi="Times New Roman" w:cs="Times New Roman"/>
          <w:sz w:val="24"/>
          <w:szCs w:val="24"/>
        </w:rPr>
        <w:t>Angew</w:t>
      </w:r>
      <w:proofErr w:type="spellEnd"/>
      <w:r w:rsidRPr="00064D62">
        <w:rPr>
          <w:rFonts w:ascii="Times New Roman" w:eastAsia="宋体" w:hAnsi="Times New Roman" w:cs="Times New Roman"/>
          <w:sz w:val="24"/>
          <w:szCs w:val="24"/>
        </w:rPr>
        <w:t>. Chem.</w:t>
      </w:r>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20</w:t>
      </w:r>
      <w:r w:rsidRPr="00064D62">
        <w:rPr>
          <w:rFonts w:ascii="Times New Roman" w:eastAsia="宋体" w:hAnsi="Times New Roman" w:cs="Times New Roman"/>
          <w:sz w:val="24"/>
          <w:szCs w:val="24"/>
        </w:rPr>
        <w:t>篇），</w:t>
      </w:r>
      <w:r w:rsidRPr="00064D62">
        <w:rPr>
          <w:rFonts w:ascii="Times New Roman" w:eastAsia="宋体" w:hAnsi="Times New Roman" w:cs="Times New Roman"/>
          <w:sz w:val="24"/>
          <w:szCs w:val="24"/>
        </w:rPr>
        <w:t>Chem</w:t>
      </w:r>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4</w:t>
      </w:r>
      <w:r w:rsidRPr="00064D62">
        <w:rPr>
          <w:rFonts w:ascii="Times New Roman" w:eastAsia="宋体" w:hAnsi="Times New Roman" w:cs="Times New Roman"/>
          <w:sz w:val="24"/>
          <w:szCs w:val="24"/>
        </w:rPr>
        <w:t>篇），</w:t>
      </w:r>
      <w:r w:rsidRPr="00064D62">
        <w:rPr>
          <w:rFonts w:ascii="Times New Roman" w:eastAsia="宋体" w:hAnsi="Times New Roman" w:cs="Times New Roman"/>
          <w:sz w:val="24"/>
          <w:szCs w:val="24"/>
        </w:rPr>
        <w:t xml:space="preserve">Nat. </w:t>
      </w:r>
      <w:proofErr w:type="spellStart"/>
      <w:proofErr w:type="gramStart"/>
      <w:r w:rsidRPr="00064D62">
        <w:rPr>
          <w:rFonts w:ascii="Times New Roman" w:eastAsia="宋体" w:hAnsi="Times New Roman" w:cs="Times New Roman"/>
          <w:sz w:val="24"/>
          <w:szCs w:val="24"/>
        </w:rPr>
        <w:t>Commun</w:t>
      </w:r>
      <w:proofErr w:type="spellEnd"/>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w:t>
      </w:r>
      <w:proofErr w:type="gramEnd"/>
      <w:r w:rsidRPr="00064D62">
        <w:rPr>
          <w:rFonts w:ascii="Times New Roman" w:eastAsia="宋体" w:hAnsi="Times New Roman" w:cs="Times New Roman"/>
          <w:sz w:val="24"/>
          <w:szCs w:val="24"/>
        </w:rPr>
        <w:t>2</w:t>
      </w:r>
      <w:r w:rsidRPr="00064D62">
        <w:rPr>
          <w:rFonts w:ascii="Times New Roman" w:eastAsia="宋体" w:hAnsi="Times New Roman" w:cs="Times New Roman"/>
          <w:sz w:val="24"/>
          <w:szCs w:val="24"/>
        </w:rPr>
        <w:t>篇），</w:t>
      </w:r>
      <w:r w:rsidRPr="00064D62">
        <w:rPr>
          <w:rFonts w:ascii="Times New Roman" w:eastAsia="宋体" w:hAnsi="Times New Roman" w:cs="Times New Roman"/>
          <w:sz w:val="24"/>
          <w:szCs w:val="24"/>
        </w:rPr>
        <w:t>Adv. Mater.</w:t>
      </w:r>
      <w:r w:rsidRPr="00064D62">
        <w:rPr>
          <w:rFonts w:ascii="Times New Roman" w:eastAsia="宋体" w:hAnsi="Times New Roman" w:cs="Times New Roman"/>
          <w:sz w:val="24"/>
          <w:szCs w:val="24"/>
        </w:rPr>
        <w:t>（</w:t>
      </w:r>
      <w:r w:rsidRPr="00064D62">
        <w:rPr>
          <w:rFonts w:ascii="Times New Roman" w:eastAsia="宋体" w:hAnsi="Times New Roman" w:cs="Times New Roman"/>
          <w:sz w:val="24"/>
          <w:szCs w:val="24"/>
        </w:rPr>
        <w:t>10</w:t>
      </w:r>
      <w:r w:rsidRPr="00064D62">
        <w:rPr>
          <w:rFonts w:ascii="Times New Roman" w:eastAsia="宋体" w:hAnsi="Times New Roman" w:cs="Times New Roman"/>
          <w:sz w:val="24"/>
          <w:szCs w:val="24"/>
        </w:rPr>
        <w:t>篇）等高水平期刊上发表论文，其中</w:t>
      </w:r>
      <w:r w:rsidRPr="00064D62">
        <w:rPr>
          <w:rFonts w:ascii="Times New Roman" w:eastAsia="宋体" w:hAnsi="Times New Roman" w:cs="Times New Roman"/>
          <w:sz w:val="24"/>
          <w:szCs w:val="24"/>
        </w:rPr>
        <w:t>65</w:t>
      </w:r>
      <w:r w:rsidRPr="00064D62">
        <w:rPr>
          <w:rFonts w:ascii="Times New Roman" w:eastAsia="宋体" w:hAnsi="Times New Roman" w:cs="Times New Roman"/>
          <w:sz w:val="24"/>
          <w:szCs w:val="24"/>
        </w:rPr>
        <w:t>余篇入选</w:t>
      </w:r>
      <w:r w:rsidRPr="00064D62">
        <w:rPr>
          <w:rFonts w:ascii="Times New Roman" w:eastAsia="宋体" w:hAnsi="Times New Roman" w:cs="Times New Roman"/>
          <w:sz w:val="24"/>
          <w:szCs w:val="24"/>
        </w:rPr>
        <w:t>ESI</w:t>
      </w:r>
      <w:r w:rsidRPr="00064D62">
        <w:rPr>
          <w:rFonts w:ascii="Times New Roman" w:eastAsia="宋体" w:hAnsi="Times New Roman" w:cs="Times New Roman"/>
          <w:sz w:val="24"/>
          <w:szCs w:val="24"/>
        </w:rPr>
        <w:t>高被引论文。论文被引用</w:t>
      </w:r>
      <w:r w:rsidRPr="00064D62">
        <w:rPr>
          <w:rFonts w:ascii="Times New Roman" w:eastAsia="宋体" w:hAnsi="Times New Roman" w:cs="Times New Roman"/>
          <w:sz w:val="24"/>
          <w:szCs w:val="24"/>
        </w:rPr>
        <w:t>40000</w:t>
      </w:r>
      <w:r w:rsidRPr="00064D62">
        <w:rPr>
          <w:rFonts w:ascii="Times New Roman" w:eastAsia="宋体" w:hAnsi="Times New Roman" w:cs="Times New Roman"/>
          <w:sz w:val="24"/>
          <w:szCs w:val="24"/>
        </w:rPr>
        <w:t>次以上（</w:t>
      </w:r>
      <w:r w:rsidRPr="00064D62">
        <w:rPr>
          <w:rFonts w:ascii="Times New Roman" w:eastAsia="宋体" w:hAnsi="Times New Roman" w:cs="Times New Roman"/>
          <w:sz w:val="24"/>
          <w:szCs w:val="24"/>
        </w:rPr>
        <w:t>H</w:t>
      </w:r>
      <w:r w:rsidRPr="00064D62">
        <w:rPr>
          <w:rFonts w:ascii="Times New Roman" w:eastAsia="宋体" w:hAnsi="Times New Roman" w:cs="Times New Roman"/>
          <w:sz w:val="24"/>
          <w:szCs w:val="24"/>
        </w:rPr>
        <w:t>指数：</w:t>
      </w:r>
      <w:r w:rsidRPr="00064D62">
        <w:rPr>
          <w:rFonts w:ascii="Times New Roman" w:eastAsia="宋体" w:hAnsi="Times New Roman" w:cs="Times New Roman"/>
          <w:sz w:val="24"/>
          <w:szCs w:val="24"/>
        </w:rPr>
        <w:t>101</w:t>
      </w:r>
      <w:r w:rsidRPr="00064D62">
        <w:rPr>
          <w:rFonts w:ascii="Times New Roman" w:eastAsia="宋体" w:hAnsi="Times New Roman" w:cs="Times New Roman"/>
          <w:sz w:val="24"/>
          <w:szCs w:val="24"/>
        </w:rPr>
        <w:t>）。撰写书章两章。担任中国化学会晶体化学专委会委员、中国化学会分子筛专委会委员、中国感光学会光催化专委会委员等；担任</w:t>
      </w:r>
      <w:r w:rsidRPr="00064D62">
        <w:rPr>
          <w:rFonts w:ascii="Times New Roman" w:eastAsia="宋体" w:hAnsi="Times New Roman" w:cs="Times New Roman"/>
          <w:sz w:val="24"/>
          <w:szCs w:val="24"/>
        </w:rPr>
        <w:t>Sci. Bull.</w:t>
      </w:r>
      <w:r w:rsidRPr="00064D62">
        <w:rPr>
          <w:rFonts w:ascii="Times New Roman" w:eastAsia="宋体" w:hAnsi="Times New Roman" w:cs="Times New Roman"/>
          <w:sz w:val="24"/>
          <w:szCs w:val="24"/>
        </w:rPr>
        <w:t>副主编以及</w:t>
      </w:r>
      <w:proofErr w:type="spellStart"/>
      <w:r w:rsidRPr="00064D62">
        <w:rPr>
          <w:rFonts w:ascii="Times New Roman" w:eastAsia="宋体" w:hAnsi="Times New Roman" w:cs="Times New Roman"/>
          <w:sz w:val="24"/>
          <w:szCs w:val="24"/>
        </w:rPr>
        <w:t>EnergyChem</w:t>
      </w:r>
      <w:proofErr w:type="spellEnd"/>
      <w:r w:rsidRPr="00064D62">
        <w:rPr>
          <w:rFonts w:ascii="Times New Roman" w:eastAsia="宋体" w:hAnsi="Times New Roman" w:cs="Times New Roman"/>
          <w:sz w:val="24"/>
          <w:szCs w:val="24"/>
        </w:rPr>
        <w:t>、化学学报等近</w:t>
      </w:r>
      <w:r w:rsidRPr="00064D62">
        <w:rPr>
          <w:rFonts w:ascii="Times New Roman" w:eastAsia="宋体" w:hAnsi="Times New Roman" w:cs="Times New Roman"/>
          <w:sz w:val="24"/>
          <w:szCs w:val="24"/>
        </w:rPr>
        <w:t>10</w:t>
      </w:r>
      <w:r w:rsidRPr="00064D62">
        <w:rPr>
          <w:rFonts w:ascii="Times New Roman" w:eastAsia="宋体" w:hAnsi="Times New Roman" w:cs="Times New Roman"/>
          <w:sz w:val="24"/>
          <w:szCs w:val="24"/>
        </w:rPr>
        <w:t>种期刊编委和顾问编委等。</w:t>
      </w:r>
      <w:bookmarkStart w:id="0" w:name="_GoBack"/>
      <w:bookmarkEnd w:id="0"/>
    </w:p>
    <w:sectPr w:rsidR="00064D62" w:rsidRPr="00064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B6"/>
    <w:rsid w:val="00064D62"/>
    <w:rsid w:val="000831B6"/>
    <w:rsid w:val="00200345"/>
    <w:rsid w:val="002D7D88"/>
    <w:rsid w:val="00320BB9"/>
    <w:rsid w:val="00434483"/>
    <w:rsid w:val="004818A7"/>
    <w:rsid w:val="0068092E"/>
    <w:rsid w:val="008A4B2A"/>
    <w:rsid w:val="00993914"/>
    <w:rsid w:val="00BA60AC"/>
    <w:rsid w:val="00DC14C7"/>
    <w:rsid w:val="00DF1FD3"/>
    <w:rsid w:val="00E67580"/>
    <w:rsid w:val="00EC3AD3"/>
    <w:rsid w:val="00F44771"/>
    <w:rsid w:val="00F8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BBD9"/>
  <w15:chartTrackingRefBased/>
  <w15:docId w15:val="{72E56014-2F01-45AB-99E5-30C91407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64D62"/>
    <w:pPr>
      <w:autoSpaceDE w:val="0"/>
      <w:autoSpaceDN w:val="0"/>
      <w:jc w:val="left"/>
    </w:pPr>
    <w:rPr>
      <w:rFonts w:ascii="宋体" w:eastAsia="宋体" w:hAnsi="宋体" w:cs="宋体"/>
      <w:kern w:val="0"/>
      <w:sz w:val="28"/>
      <w:szCs w:val="28"/>
      <w:lang w:eastAsia="en-US" w:bidi="en-US"/>
    </w:rPr>
  </w:style>
  <w:style w:type="character" w:customStyle="1" w:styleId="a4">
    <w:name w:val="正文文本 字符"/>
    <w:basedOn w:val="a0"/>
    <w:link w:val="a3"/>
    <w:uiPriority w:val="1"/>
    <w:rsid w:val="00064D62"/>
    <w:rPr>
      <w:rFonts w:ascii="宋体" w:eastAsia="宋体" w:hAnsi="宋体" w:cs="宋体"/>
      <w:kern w:val="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Guodong</dc:creator>
  <cp:keywords/>
  <dc:description/>
  <cp:lastModifiedBy>Li Guodong</cp:lastModifiedBy>
  <cp:revision>3</cp:revision>
  <dcterms:created xsi:type="dcterms:W3CDTF">2023-05-23T00:36:00Z</dcterms:created>
  <dcterms:modified xsi:type="dcterms:W3CDTF">2023-05-23T00:41:00Z</dcterms:modified>
</cp:coreProperties>
</file>